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99.png" ContentType="image/png"/>
  <Override PartName="/word/media/rId10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№9</w:t>
      </w:r>
    </w:p>
    <w:p>
      <w:pPr>
        <w:pStyle w:val="Subtitle"/>
      </w:pPr>
      <w:r>
        <w:t xml:space="preserve">Понятие подпрограммы. Отладчик GDB</w:t>
      </w:r>
    </w:p>
    <w:p>
      <w:pPr>
        <w:pStyle w:val="Author"/>
      </w:pPr>
      <w:r>
        <w:t xml:space="preserve">Лань Цяньин</w:t>
      </w:r>
    </w:p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Приобретение навыков написания программ с использованием подпрограмм. Знакомство</w:t>
      </w:r>
      <w:r>
        <w:t xml:space="preserve"> </w:t>
      </w:r>
      <w:r>
        <w:t xml:space="preserve">с методами отладки при помощи GDB и его основными возможностями</w:t>
      </w:r>
    </w:p>
    <w:bookmarkEnd w:id="20"/>
    <w:bookmarkStart w:id="98" w:name="порядок-выполнения-лабораторной-работы"/>
    <w:p>
      <w:pPr>
        <w:pStyle w:val="Heading1"/>
      </w:pPr>
      <w:r>
        <w:t xml:space="preserve">2. Порядок выполнения лабораторной работы</w:t>
      </w:r>
    </w:p>
    <w:bookmarkStart w:id="41" w:name="порядок-выполнения-лабораторной-работы-1"/>
    <w:p>
      <w:pPr>
        <w:pStyle w:val="Heading2"/>
      </w:pPr>
      <w:r>
        <w:t xml:space="preserve">2.1. Порядок выполнения лабораторной работы</w:t>
      </w:r>
    </w:p>
    <w:p>
      <w:pPr>
        <w:pStyle w:val="FirstParagraph"/>
      </w:pPr>
      <w:r>
        <w:t xml:space="preserve">Для выполнения лабораторной работы №9 создан каталог</w:t>
      </w:r>
      <w:r>
        <w:t xml:space="preserve"> </w:t>
      </w:r>
      <w:r>
        <w:rPr>
          <w:rStyle w:val="VerbatimChar"/>
        </w:rPr>
        <w:t xml:space="preserve">lab09</w:t>
      </w:r>
      <w:r>
        <w:t xml:space="preserve">, внутри него создан файл</w:t>
      </w:r>
      <w:r>
        <w:t xml:space="preserve"> </w:t>
      </w:r>
      <w:r>
        <w:rPr>
          <w:rStyle w:val="VerbatimChar"/>
        </w:rPr>
        <w:t xml:space="preserve">lab09-1.asm</w:t>
      </w:r>
      <w:r>
        <w:t xml:space="preserve"> </w:t>
      </w:r>
      <w:r>
        <w:t xml:space="preserve">в соответствии с инструкциями.(рис.</w:t>
      </w:r>
      <w:r>
        <w:t xml:space="preserve"> </w:t>
      </w:r>
      <w:hyperlink w:anchor="fig-001">
        <w:r>
          <w:rPr>
            <w:rStyle w:val="Hyperlink"/>
          </w:rPr>
          <w:t xml:space="preserve">Рисунок 1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001"/>
          <w:p>
            <w:pPr>
              <w:pStyle w:val="Compact"/>
              <w:jc w:val="center"/>
            </w:pPr>
            <w:r>
              <w:drawing>
                <wp:inline>
                  <wp:extent cx="4267200" cy="619695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fig-00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619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1: Создание каталога и файла для лабораторной работы №9</w:t>
            </w:r>
          </w:p>
          <w:bookmarkEnd w:id="24"/>
        </w:tc>
      </w:tr>
    </w:tbl>
    <w:p>
      <w:pPr>
        <w:pStyle w:val="BodyText"/>
      </w:pPr>
      <w:r>
        <w:t xml:space="preserve">Выполнены начальные шаги по подготовке окружения для реализации программы с использованием подпрограмм (процедур).</w:t>
      </w:r>
    </w:p>
    <w:p>
      <w:pPr>
        <w:pStyle w:val="BodyText"/>
      </w:pPr>
      <w:r>
        <w:t xml:space="preserve">Программа</w:t>
      </w:r>
      <w:r>
        <w:t xml:space="preserve"> </w:t>
      </w:r>
      <w:r>
        <w:rPr>
          <w:rStyle w:val="VerbatimChar"/>
        </w:rPr>
        <w:t xml:space="preserve">lab09-1.asm</w:t>
      </w:r>
      <w:r>
        <w:t xml:space="preserve"> </w:t>
      </w:r>
      <w:r>
        <w:t xml:space="preserve">для вычисления выражения</w:t>
      </w:r>
      <w:r>
        <w:t xml:space="preserve"> </w:t>
      </w:r>
      <w:r>
        <w:rPr>
          <w:rStyle w:val="VerbatimChar"/>
        </w:rPr>
        <w:t xml:space="preserve">2x+7</w:t>
      </w:r>
      <w:r>
        <w:t xml:space="preserve"> </w:t>
      </w:r>
      <w:r>
        <w:t xml:space="preserve">с использованием подпрограммы была написана в соответствии с Листингом 9.1.(рис.</w:t>
      </w:r>
      <w:r>
        <w:t xml:space="preserve"> </w:t>
      </w:r>
      <w:hyperlink w:anchor="fig-002">
        <w:r>
          <w:rPr>
            <w:rStyle w:val="Hyperlink"/>
          </w:rPr>
          <w:t xml:space="preserve">Рисунок 2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002"/>
          <w:p>
            <w:pPr>
              <w:pStyle w:val="Compact"/>
              <w:jc w:val="center"/>
            </w:pPr>
            <w:r>
              <w:drawing>
                <wp:inline>
                  <wp:extent cx="4267200" cy="3442029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fig-00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442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2: Исходный код программы lab09-1.asm (часть 1)</w:t>
            </w:r>
          </w:p>
          <w:bookmarkEnd w:id="28"/>
        </w:tc>
      </w:tr>
    </w:tbl>
    <w:p>
      <w:pPr>
        <w:pStyle w:val="BodyText"/>
      </w:pPr>
      <w:r>
        <w:t xml:space="preserve">Программа</w:t>
      </w:r>
      <w:r>
        <w:t xml:space="preserve"> </w:t>
      </w:r>
      <w:r>
        <w:rPr>
          <w:rStyle w:val="VerbatimChar"/>
        </w:rPr>
        <w:t xml:space="preserve">lab09-1.asm</w:t>
      </w:r>
      <w:r>
        <w:t xml:space="preserve"> </w:t>
      </w:r>
      <w:r>
        <w:t xml:space="preserve">была успешно откомпилирована и запущена, демонстрируя работу с подпрограммой для вычисления выражения</w:t>
      </w:r>
      <w:r>
        <w:t xml:space="preserve"> </w:t>
      </w:r>
      <w:r>
        <w:rPr>
          <w:rStyle w:val="VerbatimChar"/>
        </w:rPr>
        <w:t xml:space="preserve">2x+7</w:t>
      </w:r>
      <w:r>
        <w:t xml:space="preserve">.(рис.</w:t>
      </w:r>
      <w:r>
        <w:t xml:space="preserve"> </w:t>
      </w:r>
      <w:hyperlink w:anchor="fig-003">
        <w:r>
          <w:rPr>
            <w:rStyle w:val="Hyperlink"/>
          </w:rPr>
          <w:t xml:space="preserve">Рисунок 3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003"/>
          <w:p>
            <w:pPr>
              <w:pStyle w:val="Compact"/>
              <w:jc w:val="center"/>
            </w:pPr>
            <w:r>
              <w:drawing>
                <wp:inline>
                  <wp:extent cx="4267200" cy="669878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fig-003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6698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3: Компиляция, сборка и выполнение программы lab09-1</w:t>
            </w:r>
          </w:p>
          <w:bookmarkEnd w:id="32"/>
        </w:tc>
      </w:tr>
    </w:tbl>
    <w:p>
      <w:pPr>
        <w:pStyle w:val="BodyText"/>
      </w:pPr>
      <w:r>
        <w:t xml:space="preserve">Программа корректно запросила ввод</w:t>
      </w:r>
      <w:r>
        <w:t xml:space="preserve"> </w:t>
      </w:r>
      <w:r>
        <w:rPr>
          <w:rStyle w:val="VerbatimChar"/>
        </w:rPr>
        <w:t xml:space="preserve">x</w:t>
      </w:r>
      <w:r>
        <w:t xml:space="preserve">, вызвала подпрограмму</w:t>
      </w:r>
      <w:r>
        <w:t xml:space="preserve"> </w:t>
      </w:r>
      <w:r>
        <w:rPr>
          <w:rStyle w:val="VerbatimChar"/>
        </w:rPr>
        <w:t xml:space="preserve">_calcul</w:t>
      </w:r>
      <w:r>
        <w:t xml:space="preserve">, вычислила результат и вывела его. При вводе</w:t>
      </w:r>
      <w:r>
        <w:t xml:space="preserve"> </w:t>
      </w:r>
      <w:r>
        <w:rPr>
          <w:rStyle w:val="VerbatimChar"/>
        </w:rPr>
        <w:t xml:space="preserve">x=3</w:t>
      </w:r>
      <w:r>
        <w:t xml:space="preserve"> </w:t>
      </w:r>
      <w:r>
        <w:t xml:space="preserve">результат</w:t>
      </w:r>
      <w:r>
        <w:t xml:space="preserve"> </w:t>
      </w:r>
      <w:r>
        <w:rPr>
          <w:rStyle w:val="VerbatimChar"/>
        </w:rPr>
        <w:t xml:space="preserve">13</w:t>
      </w:r>
      <w:r>
        <w:t xml:space="preserve"> </w:t>
      </w:r>
      <w:r>
        <w:t xml:space="preserve">соответствует выражению</w:t>
      </w:r>
      <w:r>
        <w:t xml:space="preserve"> </w:t>
      </w:r>
      <w:r>
        <w:rPr>
          <w:rStyle w:val="VerbatimChar"/>
        </w:rPr>
        <w:t xml:space="preserve">2*3+7</w:t>
      </w:r>
      <w:r>
        <w:t xml:space="preserve">, что подтверждает правильность реализации передачи параметров через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, работы подпрограммы и возврата результата.</w:t>
      </w:r>
    </w:p>
    <w:p>
      <w:pPr>
        <w:pStyle w:val="BodyText"/>
      </w:pPr>
      <w:r>
        <w:t xml:space="preserve">Программа</w:t>
      </w:r>
      <w:r>
        <w:t xml:space="preserve"> </w:t>
      </w:r>
      <w:r>
        <w:rPr>
          <w:rStyle w:val="VerbatimChar"/>
        </w:rPr>
        <w:t xml:space="preserve">lab09-1.asm</w:t>
      </w:r>
      <w:r>
        <w:t xml:space="preserve"> </w:t>
      </w:r>
      <w:r>
        <w:t xml:space="preserve">была модифицирована для вычисления составной функции f(g(x)) путём добавления вложенной подпрограммы</w:t>
      </w:r>
      <w:r>
        <w:t xml:space="preserve"> </w:t>
      </w:r>
      <w:r>
        <w:rPr>
          <w:rStyle w:val="VerbatimChar"/>
        </w:rPr>
        <w:t xml:space="preserve">_subcalcul</w:t>
      </w:r>
      <w:r>
        <w:t xml:space="preserve">(рис.</w:t>
      </w:r>
      <w:r>
        <w:t xml:space="preserve"> </w:t>
      </w:r>
      <w:hyperlink w:anchor="fig-004">
        <w:r>
          <w:rPr>
            <w:rStyle w:val="Hyperlink"/>
          </w:rPr>
          <w:t xml:space="preserve">Рисунок 4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004"/>
          <w:p>
            <w:pPr>
              <w:pStyle w:val="Compact"/>
              <w:jc w:val="center"/>
            </w:pPr>
            <w:r>
              <w:drawing>
                <wp:inline>
                  <wp:extent cx="4267200" cy="3476837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fig-004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4768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4: Модифицированный код программы lab09-1.asm с вложенной подпрограммой</w:t>
            </w:r>
          </w:p>
          <w:bookmarkEnd w:id="36"/>
        </w:tc>
      </w:tr>
    </w:tbl>
    <w:p>
      <w:pPr>
        <w:pStyle w:val="BodyText"/>
      </w:pPr>
      <w:r>
        <w:t xml:space="preserve">Модифицированная программа</w:t>
      </w:r>
      <w:r>
        <w:t xml:space="preserve"> </w:t>
      </w:r>
      <w:r>
        <w:rPr>
          <w:rStyle w:val="VerbatimChar"/>
        </w:rPr>
        <w:t xml:space="preserve">lab09-1.asm</w:t>
      </w:r>
      <w:r>
        <w:t xml:space="preserve"> </w:t>
      </w:r>
      <w:r>
        <w:t xml:space="preserve">с вложенной подпрограммой была успешно откомпилирована и протестирована(рис.</w:t>
      </w:r>
      <w:r>
        <w:t xml:space="preserve"> </w:t>
      </w:r>
      <w:hyperlink w:anchor="fig-005">
        <w:r>
          <w:rPr>
            <w:rStyle w:val="Hyperlink"/>
          </w:rPr>
          <w:t xml:space="preserve">Рисунок 5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" w:name="fig-005"/>
          <w:p>
            <w:pPr>
              <w:pStyle w:val="Compact"/>
              <w:jc w:val="center"/>
            </w:pPr>
            <w:r>
              <w:drawing>
                <wp:inline>
                  <wp:extent cx="4267200" cy="651900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image/fig-005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651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5: Выполнение модифицированной программы lab09-1</w:t>
            </w:r>
          </w:p>
          <w:bookmarkEnd w:id="40"/>
        </w:tc>
      </w:tr>
    </w:tbl>
    <w:p>
      <w:pPr>
        <w:pStyle w:val="BodyText"/>
      </w:pPr>
      <w:r>
        <w:t xml:space="preserve">При вводе</w:t>
      </w:r>
      <w:r>
        <w:t xml:space="preserve"> </w:t>
      </w:r>
      <w:r>
        <w:rPr>
          <w:rStyle w:val="VerbatimChar"/>
        </w:rPr>
        <w:t xml:space="preserve">x=3</w:t>
      </w:r>
      <w:r>
        <w:t xml:space="preserve"> </w:t>
      </w:r>
      <w:r>
        <w:t xml:space="preserve">программа вывела результат</w:t>
      </w:r>
      <w:r>
        <w:t xml:space="preserve"> </w:t>
      </w:r>
      <w:r>
        <w:rPr>
          <w:rStyle w:val="VerbatimChar"/>
        </w:rPr>
        <w:t xml:space="preserve">23</w:t>
      </w:r>
      <w:r>
        <w:t xml:space="preserve">。 Это соответствует ожидаемому значению составной функции</w:t>
      </w:r>
      <w:r>
        <w:t xml:space="preserve"> </w:t>
      </w:r>
      <w:r>
        <w:rPr>
          <w:rStyle w:val="VerbatimChar"/>
        </w:rPr>
        <w:t xml:space="preserve">f(g(x))</w:t>
      </w:r>
      <w:r>
        <w:t xml:space="preserve">, где</w:t>
      </w:r>
      <w:r>
        <w:t xml:space="preserve"> </w:t>
      </w:r>
      <w:r>
        <w:rPr>
          <w:rStyle w:val="VerbatimChar"/>
        </w:rPr>
        <w:t xml:space="preserve">g(x)=3x-1</w:t>
      </w:r>
      <w:r>
        <w:t xml:space="preserve">,</w:t>
      </w:r>
      <w:r>
        <w:t xml:space="preserve"> </w:t>
      </w:r>
      <w:r>
        <w:rPr>
          <w:rStyle w:val="VerbatimChar"/>
        </w:rPr>
        <w:t xml:space="preserve">f(x)=2x+7</w:t>
      </w:r>
      <w:r>
        <w:t xml:space="preserve">:</w:t>
      </w:r>
      <w:r>
        <w:t xml:space="preserve"> </w:t>
      </w:r>
      <w:r>
        <w:rPr>
          <w:rStyle w:val="VerbatimChar"/>
        </w:rPr>
        <w:t xml:space="preserve">g(3)=8</w:t>
      </w:r>
      <w:r>
        <w:t xml:space="preserve">,</w:t>
      </w:r>
      <w:r>
        <w:t xml:space="preserve"> </w:t>
      </w:r>
      <w:r>
        <w:rPr>
          <w:rStyle w:val="VerbatimChar"/>
        </w:rPr>
        <w:t xml:space="preserve">f(8)=23</w:t>
      </w:r>
      <w:r>
        <w:t xml:space="preserve">.Результат подтверждает корректную работу механизма вложенных подпрограмм и передачи параметров через регистры</w:t>
      </w:r>
    </w:p>
    <w:bookmarkEnd w:id="41"/>
    <w:bookmarkStart w:id="97" w:name="отладка-программам-с-помощью-gdb"/>
    <w:p>
      <w:pPr>
        <w:pStyle w:val="Heading2"/>
      </w:pPr>
      <w:r>
        <w:t xml:space="preserve">2.2. Отладка программам с помощью GDB</w:t>
      </w:r>
    </w:p>
    <w:p>
      <w:pPr>
        <w:pStyle w:val="FirstParagraph"/>
      </w:pPr>
      <w:r>
        <w:t xml:space="preserve">Программа</w:t>
      </w:r>
      <w:r>
        <w:t xml:space="preserve"> </w:t>
      </w:r>
      <w:r>
        <w:rPr>
          <w:rStyle w:val="VerbatimChar"/>
        </w:rPr>
        <w:t xml:space="preserve">lab09-2.asm</w:t>
      </w:r>
      <w:r>
        <w:t xml:space="preserve"> </w:t>
      </w:r>
      <w:r>
        <w:t xml:space="preserve">была успешно откомпилирована с ключом</w:t>
      </w:r>
      <w:r>
        <w:t xml:space="preserve"> </w:t>
      </w:r>
      <w:r>
        <w:rPr>
          <w:rStyle w:val="VerbatimChar"/>
        </w:rPr>
        <w:t xml:space="preserve">-g</w:t>
      </w:r>
      <w:r>
        <w:t xml:space="preserve"> </w:t>
      </w:r>
      <w:r>
        <w:t xml:space="preserve">для генерации отладочной информации и сгенерирован исполняемый файл, пригодный для отладки в GDB(рис.</w:t>
      </w:r>
      <w:r>
        <w:t xml:space="preserve"> </w:t>
      </w:r>
      <w:hyperlink w:anchor="fig-006">
        <w:r>
          <w:rPr>
            <w:rStyle w:val="Hyperlink"/>
          </w:rPr>
          <w:t xml:space="preserve">Рисунок 6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006"/>
          <w:p>
            <w:pPr>
              <w:pStyle w:val="Compact"/>
              <w:jc w:val="center"/>
            </w:pPr>
            <w:r>
              <w:drawing>
                <wp:inline>
                  <wp:extent cx="4267200" cy="2389979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fig-006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389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6: Компиляция с отладочной информацией и запуск GDB</w:t>
            </w:r>
          </w:p>
          <w:bookmarkEnd w:id="45"/>
        </w:tc>
      </w:tr>
    </w:tbl>
    <w:p>
      <w:pPr>
        <w:pStyle w:val="BodyText"/>
      </w:pPr>
      <w:r>
        <w:t xml:space="preserve">Программа была запущена в отладчике GDB с использованием точек останова для демонстрации пошагового контроля выполнения(рис.</w:t>
      </w:r>
      <w:r>
        <w:t xml:space="preserve"> </w:t>
      </w:r>
      <w:hyperlink w:anchor="fig-007">
        <w:r>
          <w:rPr>
            <w:rStyle w:val="Hyperlink"/>
          </w:rPr>
          <w:t xml:space="preserve">Рисунок 7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007"/>
          <w:p>
            <w:pPr>
              <w:pStyle w:val="Compact"/>
              <w:jc w:val="center"/>
            </w:pPr>
            <w:r>
              <w:drawing>
                <wp:inline>
                  <wp:extent cx="4267200" cy="2547006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fig-007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5470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7: Установка точки останова и выполнение до неё в GDB</w:t>
            </w:r>
          </w:p>
          <w:bookmarkEnd w:id="49"/>
        </w:tc>
      </w:tr>
    </w:tbl>
    <w:p>
      <w:pPr>
        <w:pStyle w:val="BodyText"/>
      </w:pPr>
      <w:r>
        <w:t xml:space="preserve">В ходе отладки программы</w:t>
      </w:r>
      <w:r>
        <w:t xml:space="preserve"> </w:t>
      </w:r>
      <w:r>
        <w:rPr>
          <w:rStyle w:val="VerbatimChar"/>
        </w:rPr>
        <w:t xml:space="preserve">lab09-2</w:t>
      </w:r>
      <w:r>
        <w:t xml:space="preserve"> </w:t>
      </w:r>
      <w:r>
        <w:t xml:space="preserve">была выполнена команда</w:t>
      </w:r>
      <w:r>
        <w:t xml:space="preserve"> </w:t>
      </w:r>
      <w:r>
        <w:rPr>
          <w:rStyle w:val="VerbatimChar"/>
        </w:rPr>
        <w:t xml:space="preserve">disassemble _start</w:t>
      </w:r>
      <w:r>
        <w:t xml:space="preserve"> </w:t>
      </w:r>
      <w:r>
        <w:t xml:space="preserve">для просмотра дизассемблированного кода функции</w:t>
      </w:r>
      <w:r>
        <w:t xml:space="preserve"> </w:t>
      </w:r>
      <w:r>
        <w:rPr>
          <w:rStyle w:val="VerbatimChar"/>
        </w:rPr>
        <w:t xml:space="preserve">_start</w:t>
      </w:r>
      <w:r>
        <w:t xml:space="preserve"> </w:t>
      </w:r>
      <w:r>
        <w:t xml:space="preserve">в синтаксисе AT&amp;T (по умолчанию в GDB)(рис.</w:t>
      </w:r>
      <w:r>
        <w:t xml:space="preserve"> </w:t>
      </w:r>
      <w:hyperlink w:anchor="fig-008">
        <w:r>
          <w:rPr>
            <w:rStyle w:val="Hyperlink"/>
          </w:rPr>
          <w:t xml:space="preserve">Рисунок 8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008"/>
          <w:p>
            <w:pPr>
              <w:pStyle w:val="Compact"/>
              <w:jc w:val="center"/>
            </w:pPr>
            <w:r>
              <w:drawing>
                <wp:inline>
                  <wp:extent cx="4267200" cy="3207681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fig-008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2076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8: Дизассемблированный код _start в синтаксисе AT&amp;T</w:t>
            </w:r>
          </w:p>
          <w:bookmarkEnd w:id="53"/>
        </w:tc>
      </w:tr>
    </w:tbl>
    <w:p>
      <w:pPr>
        <w:pStyle w:val="BodyText"/>
      </w:pPr>
      <w:r>
        <w:t xml:space="preserve">После переключения синтаксиса дизассемблирования на Intel с помощью команды</w:t>
      </w:r>
      <w:r>
        <w:t xml:space="preserve"> </w:t>
      </w:r>
      <w:r>
        <w:rPr>
          <w:rStyle w:val="VerbatimChar"/>
        </w:rPr>
        <w:t xml:space="preserve">set disassembly-flavor intel</w:t>
      </w:r>
      <w:r>
        <w:t xml:space="preserve">, код функции</w:t>
      </w:r>
      <w:r>
        <w:t xml:space="preserve"> </w:t>
      </w:r>
      <w:r>
        <w:rPr>
          <w:rStyle w:val="VerbatimChar"/>
        </w:rPr>
        <w:t xml:space="preserve">_start</w:t>
      </w:r>
      <w:r>
        <w:t xml:space="preserve"> </w:t>
      </w:r>
      <w:r>
        <w:t xml:space="preserve">был выведен в соответствующем формате.(рис.</w:t>
      </w:r>
      <w:r>
        <w:t xml:space="preserve"> </w:t>
      </w:r>
      <w:hyperlink w:anchor="fig-009">
        <w:r>
          <w:rPr>
            <w:rStyle w:val="Hyperlink"/>
          </w:rPr>
          <w:t xml:space="preserve">Рисунок 9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009"/>
          <w:p>
            <w:pPr>
              <w:pStyle w:val="Compact"/>
              <w:jc w:val="center"/>
            </w:pPr>
            <w:r>
              <w:drawing>
                <wp:inline>
                  <wp:extent cx="4267200" cy="356997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image/fig-009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569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9: Дизассемблированный код _start в синтаксисе Intel</w:t>
            </w:r>
          </w:p>
          <w:bookmarkEnd w:id="57"/>
        </w:tc>
      </w:tr>
    </w:tbl>
    <w:p>
      <w:pPr>
        <w:pStyle w:val="BodyText"/>
      </w:pPr>
      <w:r>
        <w:t xml:space="preserve">В режиме псевдографики GDB, активированном командой</w:t>
      </w:r>
      <w:r>
        <w:t xml:space="preserve"> </w:t>
      </w:r>
      <w:r>
        <w:rPr>
          <w:rStyle w:val="VerbatimChar"/>
        </w:rPr>
        <w:t xml:space="preserve">layout regs</w:t>
      </w:r>
      <w:r>
        <w:t xml:space="preserve">, интерфейс отладчика разделён на три функциональные области (окна)(рис.</w:t>
      </w:r>
      <w:r>
        <w:t xml:space="preserve"> </w:t>
      </w:r>
      <w:hyperlink w:anchor="fig-010">
        <w:r>
          <w:rPr>
            <w:rStyle w:val="Hyperlink"/>
          </w:rPr>
          <w:t xml:space="preserve">Рисунок 10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010"/>
          <w:p>
            <w:pPr>
              <w:pStyle w:val="Compact"/>
              <w:jc w:val="center"/>
            </w:pPr>
            <w:r>
              <w:drawing>
                <wp:inline>
                  <wp:extent cx="4267200" cy="1830551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image/fig-010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18305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10: Интерфейс GDB в режиме</w:t>
            </w:r>
            <w:r>
              <w:t xml:space="preserve"> </w:t>
            </w:r>
            <w:r>
              <w:rPr>
                <w:rStyle w:val="VerbatimChar"/>
              </w:rPr>
              <w:t xml:space="preserve">layout regs</w:t>
            </w:r>
          </w:p>
          <w:bookmarkEnd w:id="61"/>
        </w:tc>
      </w:tr>
    </w:tbl>
    <w:bookmarkStart w:id="66" w:name="добавление-точек-останова"/>
    <w:p>
      <w:pPr>
        <w:pStyle w:val="Heading3"/>
      </w:pPr>
      <w:r>
        <w:t xml:space="preserve">2.2.1. Добавление точек останова</w:t>
      </w:r>
    </w:p>
    <w:p>
      <w:pPr>
        <w:pStyle w:val="FirstParagraph"/>
      </w:pPr>
      <w:r>
        <w:t xml:space="preserve">В графическом режиме GDB (</w:t>
      </w:r>
      <w:r>
        <w:rPr>
          <w:rStyle w:val="VerbatimChar"/>
        </w:rPr>
        <w:t xml:space="preserve">layout regs</w:t>
      </w:r>
      <w:r>
        <w:t xml:space="preserve">) была установлена вторая точка останова по адресу инструкции</w:t>
      </w:r>
      <w:r>
        <w:t xml:space="preserve"> </w:t>
      </w:r>
      <w:r>
        <w:rPr>
          <w:rStyle w:val="VerbatimChar"/>
        </w:rPr>
        <w:t xml:space="preserve">0x8049031</w:t>
      </w:r>
      <w:r>
        <w:t xml:space="preserve"> </w:t>
      </w:r>
      <w:r>
        <w:t xml:space="preserve">(строка 24 в</w:t>
      </w:r>
      <w:r>
        <w:t xml:space="preserve"> </w:t>
      </w:r>
      <w:r>
        <w:rPr>
          <w:rStyle w:val="VerbatimChar"/>
        </w:rPr>
        <w:t xml:space="preserve">lab09-2.asm</w:t>
      </w:r>
      <w:r>
        <w:rPr>
          <w:rFonts w:hint="eastAsia"/>
        </w:rPr>
        <w:t xml:space="preserve">)，</w:t>
      </w:r>
      <w:r>
        <w:t xml:space="preserve"> соответствующей команде</w:t>
      </w:r>
      <w:r>
        <w:t xml:space="preserve"> </w:t>
      </w:r>
      <w:r>
        <w:rPr>
          <w:rStyle w:val="VerbatimChar"/>
        </w:rPr>
        <w:t xml:space="preserve">mov ebx, 0x0</w:t>
      </w:r>
      <w:r>
        <w:t xml:space="preserve">(рис.</w:t>
      </w:r>
      <w:r>
        <w:t xml:space="preserve"> </w:t>
      </w:r>
      <w:hyperlink w:anchor="fig-011">
        <w:r>
          <w:rPr>
            <w:rStyle w:val="Hyperlink"/>
          </w:rPr>
          <w:t xml:space="preserve">Рисунок 11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011"/>
          <w:p>
            <w:pPr>
              <w:pStyle w:val="Compact"/>
              <w:jc w:val="center"/>
            </w:pPr>
            <w:r>
              <w:drawing>
                <wp:inline>
                  <wp:extent cx="4267200" cy="2296258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image/fig-011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2962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11: Установка точки останова по адресу</w:t>
            </w:r>
          </w:p>
          <w:bookmarkEnd w:id="65"/>
        </w:tc>
      </w:tr>
    </w:tbl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info breakpoints</w:t>
      </w:r>
      <w:r>
        <w:t xml:space="preserve"> </w:t>
      </w:r>
      <w:r>
        <w:t xml:space="preserve">подтвердила наличие двух точек:первая на</w:t>
      </w:r>
      <w:r>
        <w:t xml:space="preserve"> </w:t>
      </w:r>
      <w:r>
        <w:rPr>
          <w:rStyle w:val="VerbatimChar"/>
        </w:rPr>
        <w:t xml:space="preserve">_start</w:t>
      </w:r>
      <w:r>
        <w:t xml:space="preserve"> </w:t>
      </w:r>
      <w:r>
        <w:t xml:space="preserve">(строка </w:t>
      </w:r>
      <w:r>
        <w:rPr>
          <w:rFonts w:hint="eastAsia"/>
        </w:rPr>
        <w:t xml:space="preserve">11)，</w:t>
      </w:r>
      <w:r>
        <w:t xml:space="preserve"> вторая — по адресу</w:t>
      </w:r>
      <w:r>
        <w:t xml:space="preserve"> </w:t>
      </w:r>
      <w:r>
        <w:rPr>
          <w:rStyle w:val="VerbatimChar"/>
        </w:rPr>
        <w:t xml:space="preserve">0x08049031</w:t>
      </w:r>
      <w:r>
        <w:t xml:space="preserve"> </w:t>
      </w:r>
      <w:r>
        <w:t xml:space="preserve">(строка 24). Это позволяет детально анализировать выполнение программы от начала до предпоследней инструкции</w:t>
      </w:r>
    </w:p>
    <w:bookmarkEnd w:id="66"/>
    <w:bookmarkStart w:id="83" w:name="работа-с-данными-программы-в-gdb"/>
    <w:p>
      <w:pPr>
        <w:pStyle w:val="Heading3"/>
      </w:pPr>
      <w:r>
        <w:t xml:space="preserve">2.2.2. Работа с данными программы в GDB</w:t>
      </w:r>
    </w:p>
    <w:p>
      <w:pPr>
        <w:pStyle w:val="FirstParagraph"/>
      </w:pPr>
      <w:r>
        <w:t xml:space="preserve">В ходе пошагового выполнения программы с помощью команды</w:t>
      </w:r>
      <w:r>
        <w:t xml:space="preserve"> </w:t>
      </w:r>
      <w:r>
        <w:rPr>
          <w:rStyle w:val="VerbatimChar"/>
        </w:rPr>
        <w:t xml:space="preserve">si 5</w:t>
      </w:r>
      <w:r>
        <w:t xml:space="preserve"> </w:t>
      </w:r>
      <w:r>
        <w:t xml:space="preserve">были выполнены инструкции(рис.</w:t>
      </w:r>
      <w:r>
        <w:t xml:space="preserve"> </w:t>
      </w:r>
      <w:hyperlink w:anchor="fig-012">
        <w:r>
          <w:rPr>
            <w:rStyle w:val="Hyperlink"/>
          </w:rPr>
          <w:t xml:space="preserve">Рисунок 12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0" w:name="fig-012"/>
          <w:p>
            <w:pPr>
              <w:pStyle w:val="Compact"/>
              <w:jc w:val="center"/>
            </w:pPr>
            <w:r>
              <w:drawing>
                <wp:inline>
                  <wp:extent cx="4267200" cy="1385584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image/fig-012.pn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13855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12: Регистры</w:t>
            </w:r>
            <w:r>
              <w:t xml:space="preserve"> </w:t>
            </w:r>
            <w:r>
              <w:rPr>
                <w:rStyle w:val="VerbatimChar"/>
              </w:rPr>
              <w:t xml:space="preserve">eax</w:t>
            </w:r>
            <w:r>
              <w:t xml:space="preserve">,</w:t>
            </w:r>
            <w:r>
              <w:t xml:space="preserve"> </w:t>
            </w:r>
            <w:r>
              <w:rPr>
                <w:rStyle w:val="VerbatimChar"/>
              </w:rPr>
              <w:t xml:space="preserve">ebx</w:t>
            </w:r>
            <w:r>
              <w:t xml:space="preserve">,</w:t>
            </w:r>
            <w:r>
              <w:t xml:space="preserve"> </w:t>
            </w:r>
            <w:r>
              <w:rPr>
                <w:rStyle w:val="VerbatimChar"/>
              </w:rPr>
              <w:t xml:space="preserve">ecx</w:t>
            </w:r>
            <w:r>
              <w:t xml:space="preserve">,</w:t>
            </w:r>
            <w:r>
              <w:t xml:space="preserve"> </w:t>
            </w:r>
            <w:r>
              <w:rPr>
                <w:rStyle w:val="VerbatimChar"/>
              </w:rPr>
              <w:t xml:space="preserve">edx</w:t>
            </w:r>
            <w:r>
              <w:t xml:space="preserve"> </w:t>
            </w:r>
            <w:r>
              <w:t xml:space="preserve">изменялись для передачи параметров системному вызову</w:t>
            </w:r>
          </w:p>
          <w:bookmarkEnd w:id="70"/>
        </w:tc>
      </w:tr>
    </w:tbl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set {char}msg1='h'</w:t>
      </w:r>
      <w:r>
        <w:t xml:space="preserve"> </w:t>
      </w:r>
      <w:r>
        <w:t xml:space="preserve">первый символ строки</w:t>
      </w:r>
      <w:r>
        <w:t xml:space="preserve"> </w:t>
      </w:r>
      <w:r>
        <w:rPr>
          <w:rStyle w:val="VerbatimChar"/>
        </w:rPr>
        <w:t xml:space="preserve">msg1</w:t>
      </w:r>
      <w:r>
        <w:t xml:space="preserve"> </w:t>
      </w:r>
      <w:r>
        <w:t xml:space="preserve">был изменён с</w:t>
      </w:r>
      <w:r>
        <w:t xml:space="preserve"> </w:t>
      </w:r>
      <w:r>
        <w:rPr>
          <w:rStyle w:val="VerbatimChar"/>
        </w:rPr>
        <w:t xml:space="preserve">'H'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'h'</w:t>
      </w:r>
      <w:r>
        <w:t xml:space="preserve">。 Повторная команда</w:t>
      </w:r>
      <w:r>
        <w:t xml:space="preserve"> </w:t>
      </w:r>
      <w:r>
        <w:rPr>
          <w:rStyle w:val="VerbatimChar"/>
        </w:rPr>
        <w:t xml:space="preserve">x/1sb &amp;msg1</w:t>
      </w:r>
      <w:r>
        <w:t xml:space="preserve"> </w:t>
      </w:r>
      <w:r>
        <w:t xml:space="preserve">подтвердила изменение: вывелась строка</w:t>
      </w:r>
      <w:r>
        <w:t xml:space="preserve"> </w:t>
      </w:r>
      <w:r>
        <w:rPr>
          <w:rStyle w:val="VerbatimChar"/>
        </w:rPr>
        <w:t xml:space="preserve">"hello, "</w:t>
      </w:r>
      <w:r>
        <w:t xml:space="preserve">(рис.</w:t>
      </w:r>
      <w:r>
        <w:t xml:space="preserve"> </w:t>
      </w:r>
      <w:hyperlink w:anchor="fig-013">
        <w:r>
          <w:rPr>
            <w:rStyle w:val="Hyperlink"/>
          </w:rPr>
          <w:t xml:space="preserve">Рисунок 13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4" w:name="fig-013"/>
          <w:p>
            <w:pPr>
              <w:pStyle w:val="Compact"/>
              <w:jc w:val="center"/>
            </w:pPr>
            <w:r>
              <w:drawing>
                <wp:inline>
                  <wp:extent cx="4267200" cy="1432312"/>
                  <wp:effectExtent b="0" l="0" r="0" t="0"/>
                  <wp:docPr descr="" title="" id="72" name="Picture"/>
                  <a:graphic>
                    <a:graphicData uri="http://schemas.openxmlformats.org/drawingml/2006/picture">
                      <pic:pic>
                        <pic:nvPicPr>
                          <pic:cNvPr descr="image/fig-013.pn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14323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13: Просмотр и изменение строк в памяти</w:t>
            </w:r>
          </w:p>
          <w:bookmarkEnd w:id="74"/>
        </w:tc>
      </w:tr>
    </w:tbl>
    <w:p>
      <w:pPr>
        <w:pStyle w:val="BodyText"/>
      </w:pPr>
      <w:r>
        <w:t xml:space="preserve">На рисунке показано использование команд</w:t>
      </w:r>
      <w:r>
        <w:t xml:space="preserve"> </w:t>
      </w:r>
      <w:r>
        <w:rPr>
          <w:rStyle w:val="VerbatimChar"/>
        </w:rPr>
        <w:t xml:space="preserve">set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print</w:t>
      </w:r>
      <w:r>
        <w:t xml:space="preserve"> </w:t>
      </w:r>
      <w:r>
        <w:t xml:space="preserve">в GDB для присвоения регистру</w:t>
      </w:r>
      <w:r>
        <w:t xml:space="preserve"> </w:t>
      </w:r>
      <w:r>
        <w:rPr>
          <w:rStyle w:val="VerbatimChar"/>
        </w:rPr>
        <w:t xml:space="preserve">ebx</w:t>
      </w:r>
      <w:r>
        <w:t xml:space="preserve"> </w:t>
      </w:r>
      <w:r>
        <w:t xml:space="preserve">значения символа и целого числа с последующей проверкой.(рис.</w:t>
      </w:r>
      <w:r>
        <w:t xml:space="preserve"> </w:t>
      </w:r>
      <w:hyperlink w:anchor="fig-014">
        <w:r>
          <w:rPr>
            <w:rStyle w:val="Hyperlink"/>
          </w:rPr>
          <w:t xml:space="preserve">Рисунок 14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8" w:name="fig-014"/>
          <w:p>
            <w:pPr>
              <w:pStyle w:val="Compact"/>
              <w:jc w:val="center"/>
            </w:pPr>
            <w:r>
              <w:drawing>
                <wp:inline>
                  <wp:extent cx="4267200" cy="3305174"/>
                  <wp:effectExtent b="0" l="0" r="0" t="0"/>
                  <wp:docPr descr="" title="" id="76" name="Picture"/>
                  <a:graphic>
                    <a:graphicData uri="http://schemas.openxmlformats.org/drawingml/2006/picture">
                      <pic:pic>
                        <pic:nvPicPr>
                          <pic:cNvPr descr="image/fig-014.png" id="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3051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14: Присвоение регистру значения символа и числа</w:t>
            </w:r>
          </w:p>
          <w:bookmarkEnd w:id="78"/>
        </w:tc>
      </w:tr>
    </w:tbl>
    <w:p>
      <w:pPr>
        <w:pStyle w:val="BodyText"/>
      </w:pPr>
      <w:r>
        <w:t xml:space="preserve">Результат наглядно демонстрирует разницу: присваивание</w:t>
      </w:r>
      <w:r>
        <w:t xml:space="preserve"> </w:t>
      </w:r>
      <w:r>
        <w:rPr>
          <w:rStyle w:val="VerbatimChar"/>
        </w:rPr>
        <w:t xml:space="preserve">$ebx='2'</w:t>
      </w:r>
      <w:r>
        <w:t xml:space="preserve"> </w:t>
      </w:r>
      <w:r>
        <w:t xml:space="preserve">сохраняет ASCII-код символа (50), а</w:t>
      </w:r>
      <w:r>
        <w:t xml:space="preserve"> </w:t>
      </w:r>
      <w:r>
        <w:rPr>
          <w:rStyle w:val="VerbatimChar"/>
        </w:rPr>
        <w:t xml:space="preserve">$ebx=2</w:t>
      </w:r>
      <w:r>
        <w:t xml:space="preserve"> </w:t>
      </w:r>
      <w:r>
        <w:t xml:space="preserve">— непосредственно числовое значение.</w:t>
      </w:r>
    </w:p>
    <w:p>
      <w:pPr>
        <w:pStyle w:val="BodyText"/>
      </w:pPr>
      <w:r>
        <w:t xml:space="preserve">На рисунке показано использование команды</w:t>
      </w:r>
      <w:r>
        <w:t xml:space="preserve"> </w:t>
      </w:r>
      <w:r>
        <w:rPr>
          <w:rStyle w:val="VerbatimChar"/>
        </w:rPr>
        <w:t xml:space="preserve">print</w:t>
      </w:r>
      <w:r>
        <w:t xml:space="preserve"> </w:t>
      </w:r>
      <w:r>
        <w:t xml:space="preserve">в GDB с различными форматами вывода для отображения одного и того же значения регистра</w:t>
      </w:r>
      <w:r>
        <w:t xml:space="preserve"> </w:t>
      </w:r>
      <w:r>
        <w:rPr>
          <w:rStyle w:val="VerbatimChar"/>
        </w:rPr>
        <w:t xml:space="preserve">edx</w:t>
      </w:r>
      <w:r>
        <w:t xml:space="preserve">.(рис.</w:t>
      </w:r>
      <w:r>
        <w:t xml:space="preserve"> </w:t>
      </w:r>
      <w:hyperlink w:anchor="fig-015">
        <w:r>
          <w:rPr>
            <w:rStyle w:val="Hyperlink"/>
          </w:rPr>
          <w:t xml:space="preserve">Рисунок 15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015"/>
          <w:p>
            <w:pPr>
              <w:pStyle w:val="Compact"/>
              <w:jc w:val="center"/>
            </w:pPr>
            <w:r>
              <w:drawing>
                <wp:inline>
                  <wp:extent cx="3513221" cy="3368842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image/fig-015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3221" cy="33688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15: Вывод значения регистра edx в разных форматах</w:t>
            </w:r>
          </w:p>
          <w:bookmarkEnd w:id="82"/>
        </w:tc>
      </w:tr>
    </w:tbl>
    <w:p>
      <w:pPr>
        <w:pStyle w:val="BodyText"/>
      </w:pPr>
      <w:r>
        <w:t xml:space="preserve">Команды</w:t>
      </w:r>
      <w:r>
        <w:t xml:space="preserve"> </w:t>
      </w:r>
      <w:r>
        <w:rPr>
          <w:rStyle w:val="VerbatimChar"/>
        </w:rPr>
        <w:t xml:space="preserve">p/x</w:t>
      </w:r>
      <w:r>
        <w:t xml:space="preserve">,</w:t>
      </w:r>
      <w:r>
        <w:t xml:space="preserve"> </w:t>
      </w:r>
      <w:r>
        <w:rPr>
          <w:rStyle w:val="VerbatimChar"/>
        </w:rPr>
        <w:t xml:space="preserve">p/t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p/s</w:t>
      </w:r>
      <w:r>
        <w:t xml:space="preserve"> </w:t>
      </w:r>
      <w:r>
        <w:t xml:space="preserve">демонстрируют одно и то же значение (8) в шестнадцатеричном (0x8), двоичном (1000) и десятичном (8) представлении соответственно. Это наглядно показывает, как один и тот же числовой тип данных может быть отображён в разных системах счисления.</w:t>
      </w:r>
    </w:p>
    <w:bookmarkEnd w:id="83"/>
    <w:bookmarkStart w:id="96" w:name="X34484a9d02dddcc072527afae661c9b27116987"/>
    <w:p>
      <w:pPr>
        <w:pStyle w:val="Heading3"/>
      </w:pPr>
      <w:r>
        <w:t xml:space="preserve">2.2.3. Обработка аргументов командной строки в GDB</w:t>
      </w:r>
    </w:p>
    <w:p>
      <w:pPr>
        <w:pStyle w:val="FirstParagraph"/>
      </w:pPr>
      <w:r>
        <w:t xml:space="preserve">На рисунке показан процесс подготовки и загрузки программы</w:t>
      </w:r>
      <w:r>
        <w:t xml:space="preserve"> </w:t>
      </w:r>
      <w:r>
        <w:rPr>
          <w:rStyle w:val="VerbatimChar"/>
        </w:rPr>
        <w:t xml:space="preserve">lab09-3</w:t>
      </w:r>
      <w:r>
        <w:t xml:space="preserve"> </w:t>
      </w:r>
      <w:r>
        <w:t xml:space="preserve">с аргументами командной строки в отладчик GDB.(рис.</w:t>
      </w:r>
      <w:r>
        <w:t xml:space="preserve"> </w:t>
      </w:r>
      <w:hyperlink w:anchor="fig-016">
        <w:r>
          <w:rPr>
            <w:rStyle w:val="Hyperlink"/>
          </w:rPr>
          <w:t xml:space="preserve">Рисунок 16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016"/>
          <w:p>
            <w:pPr>
              <w:pStyle w:val="Compact"/>
              <w:jc w:val="center"/>
            </w:pPr>
            <w:r>
              <w:drawing>
                <wp:inline>
                  <wp:extent cx="4267200" cy="1982427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image/fig-016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19824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16: Компиляция и запуск программы с аргументами в GDB</w:t>
            </w:r>
          </w:p>
          <w:bookmarkEnd w:id="87"/>
        </w:tc>
      </w:tr>
    </w:tbl>
    <w:p>
      <w:pPr>
        <w:pStyle w:val="BodyText"/>
      </w:pPr>
      <w:r>
        <w:t xml:space="preserve">На скриншоте последовательно выполняются команды копирования исходного файла, его компиляции (</w:t>
      </w:r>
      <w:r>
        <w:rPr>
          <w:rStyle w:val="VerbatimChar"/>
        </w:rPr>
        <w:t xml:space="preserve">nasm</w:t>
      </w:r>
      <w:r>
        <w:t xml:space="preserve">), компоновки (</w:t>
      </w:r>
      <w:r>
        <w:rPr>
          <w:rStyle w:val="VerbatimChar"/>
        </w:rPr>
        <w:t xml:space="preserve">ld</w:t>
      </w:r>
      <w:r>
        <w:t xml:space="preserve">) и, наконец, загрузки в GDB с использованием ключа</w:t>
      </w:r>
      <w:r>
        <w:t xml:space="preserve"> </w:t>
      </w:r>
      <w:r>
        <w:rPr>
          <w:rStyle w:val="VerbatimChar"/>
        </w:rPr>
        <w:t xml:space="preserve">--args</w:t>
      </w:r>
      <w:r>
        <w:t xml:space="preserve"> </w:t>
      </w:r>
      <w:r>
        <w:t xml:space="preserve">и тремя тестовыми аргументами, включая аргумент в кавычках (</w:t>
      </w:r>
      <w:r>
        <w:rPr>
          <w:rStyle w:val="VerbatimChar"/>
        </w:rPr>
        <w:t xml:space="preserve">'apryмент 3'</w:t>
      </w:r>
      <w:r>
        <w:t xml:space="preserve">). Успешный вывод информации о версии GDB и сообщения</w:t>
      </w:r>
      <w:r>
        <w:t xml:space="preserve"> </w:t>
      </w:r>
      <w:r>
        <w:rPr>
          <w:rStyle w:val="VerbatimChar"/>
        </w:rPr>
        <w:t xml:space="preserve">"Reading symbols from lab09-3..."</w:t>
      </w:r>
    </w:p>
    <w:p>
      <w:pPr>
        <w:pStyle w:val="BodyText"/>
      </w:pPr>
      <w:r>
        <w:t xml:space="preserve">На рисунке показан процесс установки точки останова и запуска программы в GDB.(рис.</w:t>
      </w:r>
      <w:r>
        <w:t xml:space="preserve"> </w:t>
      </w:r>
      <w:hyperlink w:anchor="fig-017">
        <w:r>
          <w:rPr>
            <w:rStyle w:val="Hyperlink"/>
          </w:rPr>
          <w:t xml:space="preserve">Рисунок 17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1" w:name="fig-017"/>
          <w:p>
            <w:pPr>
              <w:pStyle w:val="Compact"/>
              <w:jc w:val="center"/>
            </w:pPr>
            <w:r>
              <w:drawing>
                <wp:inline>
                  <wp:extent cx="4267200" cy="1370460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image/fig-017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1370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17: Установка точки останова на _start и запуск программы</w:t>
            </w:r>
          </w:p>
          <w:bookmarkEnd w:id="91"/>
        </w:tc>
      </w:tr>
    </w:tbl>
    <w:p>
      <w:pPr>
        <w:pStyle w:val="BodyText"/>
      </w:pPr>
      <w:r>
        <w:t xml:space="preserve">После выполнения команд</w:t>
      </w:r>
      <w:r>
        <w:t xml:space="preserve"> </w:t>
      </w:r>
      <w:r>
        <w:rPr>
          <w:rStyle w:val="VerbatimChar"/>
        </w:rPr>
        <w:t xml:space="preserve">b _start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run</w:t>
      </w:r>
      <w:r>
        <w:t xml:space="preserve"> </w:t>
      </w:r>
      <w:r>
        <w:t xml:space="preserve">программа останавливается на первой инструкции</w:t>
      </w:r>
      <w:r>
        <w:t xml:space="preserve"> </w:t>
      </w:r>
      <w:r>
        <w:rPr>
          <w:rStyle w:val="VerbatimChar"/>
        </w:rPr>
        <w:t xml:space="preserve">pop ecx</w:t>
      </w:r>
      <w:r>
        <w:t xml:space="preserve"> </w:t>
      </w:r>
      <w:r>
        <w:t xml:space="preserve">(строка 7), что позволяет исследовать начальное состояние стека и регистров.</w:t>
      </w:r>
    </w:p>
    <w:p>
      <w:pPr>
        <w:pStyle w:val="BodyText"/>
      </w:pPr>
      <w:r>
        <w:t xml:space="preserve">На рисунке показана практическая проверка расположения аргументов командной строки в стеке с помощью команд GDB</w:t>
      </w:r>
      <w:r>
        <w:t xml:space="preserve"> </w:t>
      </w:r>
      <w:r>
        <w:rPr>
          <w:rStyle w:val="VerbatimChar"/>
        </w:rPr>
        <w:t xml:space="preserve">x/x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x/s</w:t>
      </w:r>
      <w:r>
        <w:t xml:space="preserve">. (рис.</w:t>
      </w:r>
      <w:r>
        <w:t xml:space="preserve"> </w:t>
      </w:r>
      <w:hyperlink w:anchor="fig-018">
        <w:r>
          <w:rPr>
            <w:rStyle w:val="Hyperlink"/>
          </w:rPr>
          <w:t xml:space="preserve">Рисунок 18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5" w:name="fig-018"/>
          <w:p>
            <w:pPr>
              <w:pStyle w:val="Compact"/>
              <w:jc w:val="center"/>
            </w:pPr>
            <w:r>
              <w:drawing>
                <wp:inline>
                  <wp:extent cx="4267200" cy="2291808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image/fig-018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291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18: Практическая проверка аргументов в стеке</w:t>
            </w:r>
          </w:p>
          <w:bookmarkEnd w:id="95"/>
        </w:tc>
      </w:tr>
    </w:tbl>
    <w:p>
      <w:pPr>
        <w:pStyle w:val="BodyText"/>
      </w:pPr>
      <w:r>
        <w:t xml:space="preserve">Вершина стека (</w:t>
      </w:r>
      <w:r>
        <w:rPr>
          <w:rStyle w:val="VerbatimChar"/>
        </w:rPr>
        <w:t xml:space="preserve">$esp</w:t>
      </w:r>
      <w:r>
        <w:t xml:space="preserve">) содержит количество аргументов (5). Команды</w:t>
      </w:r>
      <w:r>
        <w:t xml:space="preserve"> </w:t>
      </w:r>
      <w:r>
        <w:rPr>
          <w:rStyle w:val="VerbatimChar"/>
        </w:rPr>
        <w:t xml:space="preserve">x/s</w:t>
      </w:r>
      <w:r>
        <w:t xml:space="preserve"> </w:t>
      </w:r>
      <w:r>
        <w:t xml:space="preserve">показывают сами аргументы, хранящиеся по адресам в стеке. Шаг в 4 байта между элементами обусловлен размером указателя в 32-битной архитектуре.</w:t>
      </w:r>
    </w:p>
    <w:bookmarkEnd w:id="96"/>
    <w:bookmarkEnd w:id="97"/>
    <w:bookmarkEnd w:id="98"/>
    <w:bookmarkStart w:id="107" w:name="задание-для-самостоятельной-работы"/>
    <w:p>
      <w:pPr>
        <w:pStyle w:val="Heading1"/>
      </w:pPr>
      <w:r>
        <w:t xml:space="preserve">3. Задание для самостоятельной работы</w:t>
      </w:r>
    </w:p>
    <w:p>
      <w:pPr>
        <w:pStyle w:val="FirstParagraph"/>
      </w:pPr>
      <w:r>
        <w:t xml:space="preserve">В данном задании требуется откомпилировать, запустить и проанализировать программу</w:t>
      </w:r>
      <w:r>
        <w:t xml:space="preserve"> </w:t>
      </w:r>
      <w:r>
        <w:rPr>
          <w:rStyle w:val="VerbatimChar"/>
        </w:rPr>
        <w:t xml:space="preserve">lab09-4.asm</w:t>
      </w:r>
      <w:r>
        <w:t xml:space="preserve">, предназначенную для вычисления выражения (3+2)*4+5, с целью обнаружения возможных ошибок с помощью отладчика GDB. (рис.</w:t>
      </w:r>
      <w:r>
        <w:t xml:space="preserve"> </w:t>
      </w:r>
      <w:hyperlink w:anchor="fig-019">
        <w:r>
          <w:rPr>
            <w:rStyle w:val="Hyperlink"/>
          </w:rPr>
          <w:t xml:space="preserve">Рисунок 19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019"/>
          <w:p>
            <w:pPr>
              <w:pStyle w:val="Compact"/>
              <w:jc w:val="center"/>
            </w:pPr>
            <w:r>
              <w:drawing>
                <wp:inline>
                  <wp:extent cx="4267200" cy="247181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image/fig-019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471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19: Фрагмент кода программы lab09-4.asm в редакторе</w:t>
            </w:r>
          </w:p>
          <w:bookmarkEnd w:id="10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6" w:name="fig-020"/>
          <w:p>
            <w:pPr>
              <w:pStyle w:val="Compact"/>
              <w:jc w:val="center"/>
            </w:pPr>
            <w:r>
              <w:drawing>
                <wp:inline>
                  <wp:extent cx="4267200" cy="456255"/>
                  <wp:effectExtent b="0" l="0" r="0" t="0"/>
                  <wp:docPr descr="" title="" id="104" name="Picture"/>
                  <a:graphic>
                    <a:graphicData uri="http://schemas.openxmlformats.org/drawingml/2006/picture">
                      <pic:pic>
                        <pic:nvPicPr>
                          <pic:cNvPr descr="image/fig-020.png" id="1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456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20: Компиляция, сборка и запуск программы lab09-4</w:t>
            </w:r>
          </w:p>
          <w:bookmarkEnd w:id="106"/>
        </w:tc>
      </w:tr>
    </w:tbl>
    <w:p>
      <w:pPr>
        <w:pStyle w:val="BodyText"/>
      </w:pPr>
      <w:r>
        <w:t xml:space="preserve">Программа была успешно скомпилирована и собрана с помощью</w:t>
      </w:r>
      <w:r>
        <w:t xml:space="preserve"> </w:t>
      </w:r>
      <w:r>
        <w:rPr>
          <w:rStyle w:val="VerbatimChar"/>
        </w:rPr>
        <w:t xml:space="preserve">nasm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ld</w:t>
      </w:r>
      <w:r>
        <w:t xml:space="preserve">. При запуске она выводит строку</w:t>
      </w:r>
      <w:r>
        <w:t xml:space="preserve"> </w:t>
      </w:r>
      <w:r>
        <w:t xml:space="preserve">“Результат: 25”</w:t>
      </w:r>
      <w:r>
        <w:t xml:space="preserve">. Хотя результат совпадает с ожидаемым значением выражения (3+2)*4+5 = 25), согласно условию задания программа содержит логическую ошибку, которую необходимо выявить путём пошагового анализа в GDB. Это требует проверки последовательности инструкций и состояния регистров на каждом этапе вычисления. (рис.</w:t>
      </w:r>
      <w:r>
        <w:t xml:space="preserve"> </w:t>
      </w:r>
      <w:hyperlink w:anchor="fig-020">
        <w:r>
          <w:rPr>
            <w:rStyle w:val="Hyperlink"/>
          </w:rPr>
          <w:t xml:space="preserve">Рисунок 20</w:t>
        </w:r>
      </w:hyperlink>
      <w:r>
        <w:t xml:space="preserve">)</w:t>
      </w:r>
    </w:p>
    <w:bookmarkEnd w:id="107"/>
    <w:bookmarkStart w:id="108" w:name="вывод"/>
    <w:p>
      <w:pPr>
        <w:pStyle w:val="Heading1"/>
      </w:pPr>
      <w:r>
        <w:t xml:space="preserve">4 вывод</w:t>
      </w:r>
    </w:p>
    <w:p>
      <w:pPr>
        <w:pStyle w:val="FirstParagraph"/>
      </w:pPr>
      <w:r>
        <w:t xml:space="preserve">Освоены основы создания подпрограмм на ассемблере и их отладки в GDB, что развивает ключевые практические навыки для программирования низкого уровня.</w:t>
      </w:r>
    </w:p>
    <w:bookmarkEnd w:id="10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9" Target="media/rId99.png" /><Relationship Type="http://schemas.openxmlformats.org/officeDocument/2006/relationships/image" Id="rId103" Target="media/rId10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№9</dc:title>
  <dc:creator>Лань Цяньин</dc:creator>
  <dc:language>ru-RU</dc:language>
  <cp:keywords/>
  <dcterms:created xsi:type="dcterms:W3CDTF">2025-12-21T21:45:17Z</dcterms:created>
  <dcterms:modified xsi:type="dcterms:W3CDTF">2025-12-21T21:45:17Z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rossref">
    <vt:lpwstr/>
  </property>
  <property fmtid="{D5CDD505-2E9C-101B-9397-08002B2CF9AE}" pid="7" name="csl">
    <vt:lpwstr>_resources/csl/gost-r-7-0-5-2008-numeric.csl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of">
    <vt:lpwstr>False</vt:lpwstr>
  </property>
  <property fmtid="{D5CDD505-2E9C-101B-9397-08002B2CF9AE}" pid="13" name="lot">
    <vt:lpwstr>False</vt:lpwstr>
  </property>
  <property fmtid="{D5CDD505-2E9C-101B-9397-08002B2CF9AE}" pid="14" name="subtitle">
    <vt:lpwstr>Понятие подпрограммы. Отладчик GDB</vt:lpwstr>
  </property>
  <property fmtid="{D5CDD505-2E9C-101B-9397-08002B2CF9AE}" pid="15" name="titlepage">
    <vt:lpwstr>True</vt:lpwstr>
  </property>
  <property fmtid="{D5CDD505-2E9C-101B-9397-08002B2CF9AE}" pid="16" name="toc-title">
    <vt:lpwstr>Содержание</vt:lpwstr>
  </property>
</Properties>
</file>